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F4314A" w:rsidP="00E9398A">
      <w:pPr>
        <w:spacing w:line="480" w:lineRule="auto"/>
        <w:jc w:val="center"/>
        <w:rPr>
          <w:rFonts w:ascii="Times New Roman" w:hAnsi="Times New Roman" w:cs="Times New Roman"/>
          <w:sz w:val="24"/>
          <w:szCs w:val="24"/>
        </w:rPr>
      </w:pPr>
      <w:r w:rsidRPr="005A79EE">
        <w:rPr>
          <w:rFonts w:ascii="Times New Roman" w:hAnsi="Times New Roman" w:cs="Times New Roman"/>
          <w:sz w:val="24"/>
          <w:szCs w:val="24"/>
        </w:rPr>
        <w:t>Evaluation Proposal</w:t>
      </w:r>
    </w:p>
    <w:p w:rsidR="00E9398A" w:rsidRPr="005A79EE" w:rsidRDefault="00E9398A" w:rsidP="00E9398A">
      <w:pPr>
        <w:spacing w:line="480" w:lineRule="auto"/>
        <w:jc w:val="center"/>
        <w:rPr>
          <w:rFonts w:ascii="Times New Roman" w:hAnsi="Times New Roman" w:cs="Times New Roman"/>
          <w:sz w:val="24"/>
          <w:szCs w:val="24"/>
        </w:rPr>
      </w:pPr>
      <w:r w:rsidRPr="005A79EE">
        <w:rPr>
          <w:rFonts w:ascii="Times New Roman" w:hAnsi="Times New Roman" w:cs="Times New Roman"/>
          <w:sz w:val="24"/>
          <w:szCs w:val="24"/>
        </w:rPr>
        <w:t>Name</w:t>
      </w:r>
    </w:p>
    <w:p w:rsidR="00E9398A" w:rsidRPr="005A79EE" w:rsidRDefault="00E9398A" w:rsidP="00E9398A">
      <w:pPr>
        <w:spacing w:line="480" w:lineRule="auto"/>
        <w:jc w:val="center"/>
        <w:rPr>
          <w:rFonts w:ascii="Times New Roman" w:hAnsi="Times New Roman" w:cs="Times New Roman"/>
          <w:sz w:val="24"/>
          <w:szCs w:val="24"/>
        </w:rPr>
      </w:pPr>
      <w:r w:rsidRPr="005A79EE">
        <w:rPr>
          <w:rFonts w:ascii="Times New Roman" w:hAnsi="Times New Roman" w:cs="Times New Roman"/>
          <w:sz w:val="24"/>
          <w:szCs w:val="24"/>
        </w:rPr>
        <w:t>Institution</w:t>
      </w:r>
    </w:p>
    <w:p w:rsidR="00E9398A" w:rsidRPr="005A79EE" w:rsidRDefault="00E9398A" w:rsidP="00E9398A">
      <w:pPr>
        <w:spacing w:line="480" w:lineRule="auto"/>
        <w:jc w:val="center"/>
        <w:rPr>
          <w:rFonts w:ascii="Times New Roman" w:hAnsi="Times New Roman" w:cs="Times New Roman"/>
          <w:sz w:val="24"/>
          <w:szCs w:val="24"/>
        </w:rPr>
      </w:pPr>
      <w:r w:rsidRPr="005A79EE">
        <w:rPr>
          <w:rFonts w:ascii="Times New Roman" w:hAnsi="Times New Roman" w:cs="Times New Roman"/>
          <w:sz w:val="24"/>
          <w:szCs w:val="24"/>
        </w:rPr>
        <w:t>Date</w:t>
      </w: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p>
    <w:p w:rsidR="00E9398A" w:rsidRPr="005A79EE" w:rsidRDefault="00E9398A" w:rsidP="00E9398A">
      <w:pPr>
        <w:spacing w:line="480" w:lineRule="auto"/>
        <w:rPr>
          <w:rFonts w:ascii="Times New Roman" w:hAnsi="Times New Roman" w:cs="Times New Roman"/>
          <w:sz w:val="24"/>
          <w:szCs w:val="24"/>
        </w:rPr>
      </w:pPr>
    </w:p>
    <w:p w:rsidR="00E9398A" w:rsidRPr="005A79EE" w:rsidRDefault="00E9398A" w:rsidP="00E9398A">
      <w:pPr>
        <w:spacing w:line="480" w:lineRule="auto"/>
        <w:rPr>
          <w:rFonts w:ascii="Times New Roman" w:hAnsi="Times New Roman" w:cs="Times New Roman"/>
          <w:sz w:val="24"/>
          <w:szCs w:val="24"/>
        </w:rPr>
      </w:pPr>
    </w:p>
    <w:p w:rsidR="00E9398A" w:rsidRPr="005A79EE" w:rsidRDefault="00E9398A" w:rsidP="00E9398A">
      <w:pPr>
        <w:spacing w:line="480" w:lineRule="auto"/>
        <w:jc w:val="center"/>
        <w:rPr>
          <w:rFonts w:ascii="Times New Roman" w:hAnsi="Times New Roman" w:cs="Times New Roman"/>
          <w:sz w:val="24"/>
          <w:szCs w:val="24"/>
        </w:rPr>
      </w:pPr>
      <w:r w:rsidRPr="005A79EE">
        <w:rPr>
          <w:rFonts w:ascii="Times New Roman" w:hAnsi="Times New Roman" w:cs="Times New Roman"/>
          <w:sz w:val="24"/>
          <w:szCs w:val="24"/>
        </w:rPr>
        <w:lastRenderedPageBreak/>
        <w:t>Evaluation Proposal</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The Department of Criminal Justice is one of the most impressive and competent departments in the United States, and its relevance in the current and future status of the nation can never be estimated. Contemporary studies have shown that criminal justice lasts as the backbone of the United States democratic systems. However, the current criminal justice system has been encountering a series of complex issues, stretching from human trafficking to racisms to terrorism to drug trafficking (Neely &amp; Allen, 2018). Criminal justice professionals are devoted to addressing these tough challenges every single day. Studies have affirmed that criminals are the most intelligent people we have in our great nation. However, professionals in criminal justice tend to acknowledge the challenge by taking quite stringent, elaborate and promising measures to counter and combat the potential effects of criminality through working to reduce crime, improve public safety, and protect as well as serve the society with proficiency. In this regard, it is worthy of attesting that the wellness of the present and future America lies in the hands of the department of criminal justice (Neely &amp; Allen, 2018). The department stands a better chance to deploy crime based researches which will help to bridge the knowledge gap amid criminals and justice professionals and hence creating a better opportunity to address the evident criminal justice issues. For that reason, this paper seeks to provide a quite promising evaluation proposal on cyberterrorism which threatens the wellness of the criminal justice system and the nation in details. </w:t>
      </w:r>
    </w:p>
    <w:p w:rsidR="00E9398A" w:rsidRPr="00E9398A" w:rsidRDefault="00E9398A" w:rsidP="00E9398A">
      <w:pPr>
        <w:spacing w:after="0" w:line="480" w:lineRule="auto"/>
        <w:jc w:val="center"/>
        <w:rPr>
          <w:rFonts w:ascii="Times New Roman" w:eastAsia="Times New Roman" w:hAnsi="Times New Roman" w:cs="Times New Roman"/>
          <w:sz w:val="24"/>
          <w:szCs w:val="24"/>
        </w:rPr>
      </w:pPr>
      <w:r w:rsidRPr="005A79EE">
        <w:rPr>
          <w:rFonts w:ascii="Times New Roman" w:eastAsia="Times New Roman" w:hAnsi="Times New Roman" w:cs="Times New Roman"/>
          <w:i/>
          <w:iCs/>
          <w:sz w:val="24"/>
          <w:szCs w:val="24"/>
        </w:rPr>
        <w:t>Problem Statement</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 xml:space="preserve">In the current scenario, information and communication technology (ICT) has been voted as one of the most expanding industries, which has not only reduced the world into a global village but also increased the efficiency in every integral department or sector. However, there is </w:t>
      </w:r>
      <w:r w:rsidRPr="00E9398A">
        <w:rPr>
          <w:rFonts w:ascii="Times New Roman" w:eastAsia="Times New Roman" w:hAnsi="Times New Roman" w:cs="Times New Roman"/>
          <w:sz w:val="24"/>
          <w:szCs w:val="24"/>
        </w:rPr>
        <w:lastRenderedPageBreak/>
        <w:t xml:space="preserve">a growing need to consider the entire the ICT sector as a double-sided sword whose bottlenecks challenges every departed and hence the Department of Criminal Justice (DOJ) is not exceptional (Blakemore, 2016). Technology serves as the breeding zone and a basis for the commission of terrorism-affiliated offences or a target of terrorists. According to the Federal Bureau of Statistics, the ICT has strengthened the accuracy and operability of justice system in the U.S. It requires every criminal justice professional to remain on toes to understand and shed light on how technology has been used to promote, support, facilitate, or engage in cyber-enabled terrorism. The DOJ attests that there has been a growing incidence of data breaching, extortion, cyberbullying, and identity theft as a result of increased technology (Neely &amp; Allen, 2018). All these factors require justice to take its defensible position and restore the wellness of our great nation. The fate of cyberterrorism remains mysterious due to the skyrocketing nature of internet-related crimes. With this understanding, cyberterrorism has become one of the rapidly unfolding areas of focus in the criminal justice system. It is the primary responsibility of every crime investigator who collects digital evidence and criminal justice professionals who influence policies regarding </w:t>
      </w:r>
      <w:r w:rsidRPr="005A79EE">
        <w:rPr>
          <w:rFonts w:ascii="Times New Roman" w:eastAsia="Times New Roman" w:hAnsi="Times New Roman" w:cs="Times New Roman"/>
          <w:sz w:val="24"/>
          <w:szCs w:val="24"/>
        </w:rPr>
        <w:t>cyber security</w:t>
      </w:r>
      <w:r w:rsidRPr="00E9398A">
        <w:rPr>
          <w:rFonts w:ascii="Times New Roman" w:eastAsia="Times New Roman" w:hAnsi="Times New Roman" w:cs="Times New Roman"/>
          <w:sz w:val="24"/>
          <w:szCs w:val="24"/>
        </w:rPr>
        <w:t xml:space="preserve"> to make determined efforts to restore the cybercrime justice while addressing this growing crime issue in the current interconnected world. Herein, the cyberterrorism is worth evaluation. </w:t>
      </w:r>
    </w:p>
    <w:p w:rsidR="00E9398A" w:rsidRPr="00E9398A" w:rsidRDefault="00E9398A" w:rsidP="00E9398A">
      <w:pPr>
        <w:spacing w:after="0" w:line="480" w:lineRule="auto"/>
        <w:jc w:val="center"/>
        <w:rPr>
          <w:rFonts w:ascii="Times New Roman" w:eastAsia="Times New Roman" w:hAnsi="Times New Roman" w:cs="Times New Roman"/>
          <w:b/>
          <w:sz w:val="24"/>
          <w:szCs w:val="24"/>
        </w:rPr>
      </w:pPr>
      <w:r w:rsidRPr="00E9398A">
        <w:rPr>
          <w:rFonts w:ascii="Times New Roman" w:eastAsia="Times New Roman" w:hAnsi="Times New Roman" w:cs="Times New Roman"/>
          <w:b/>
          <w:sz w:val="24"/>
          <w:szCs w:val="24"/>
        </w:rPr>
        <w:t>Evaluand Identification</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 xml:space="preserve">Evaluation is a critical step in every investigative matter. It is the systematic identification of a subject’s merit, in addition to value and importance with the practical application of well-set standards. In the context of criminal justice, evaluand identification creates an opportunity for justice organizations to design effective programs and set any other intervention practice to assess any investigative idea, understand the proposals, and to aid in </w:t>
      </w:r>
      <w:r w:rsidRPr="00E9398A">
        <w:rPr>
          <w:rFonts w:ascii="Times New Roman" w:eastAsia="Times New Roman" w:hAnsi="Times New Roman" w:cs="Times New Roman"/>
          <w:sz w:val="24"/>
          <w:szCs w:val="24"/>
        </w:rPr>
        <w:lastRenderedPageBreak/>
        <w:t>making decisions while ascertaining the extend of attaining the set goals. There exists a growing need to underscore the evident forms of cyber-enabled terrorism and the breeding zones. It is noteworthy that cyberspace creates an entirely new dimension to military operations and hence the affiliated dependence on information technology increases exponentially in both government and commercial sectors. There are great opportunities for adversaries and the potential ramification of attacks. Cyber-based terrorists have strived to take advantage of knowledge deficiency in the entire society, not only to spread fears but also to maximize personalized gains at the cost of other people. </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To comprehend the cyberterrorism, the concerned stakeholders must underscore the ideal contributions of cyberspace and its particulars concerning criminal justice. Criminal investigators should have a clear look at the varied components of cyber-terror anatomy by considering the most basic questions concerning who, what, how, where, when and how of cybercrime. Arguably, the diversity of ICT in the United States ranges from individuals to nation-states. Cyberterrorists are probing, well organized and well-financed foreign intelligence collection agencies and perform intelligent preparations of the cyber battlefield to gain unauthorized knowledge and access Defense Department Systems. Herein, the stake of cyberterrorism is quite thought-provoking. Focusing on cyberterrorism as a subject area will suitably aid the concerned stakeholders to underscore and reflect on the primary causes and effects of cyberterrorism. Convincingly, the proposed evaluation will serve as an eye-opener to the need for preventive policies to counter the effects of cyber-enabled crimes. </w:t>
      </w:r>
    </w:p>
    <w:p w:rsidR="00E9398A" w:rsidRPr="00E9398A" w:rsidRDefault="00E9398A" w:rsidP="00E9398A">
      <w:pPr>
        <w:spacing w:after="0" w:line="480" w:lineRule="auto"/>
        <w:jc w:val="center"/>
        <w:rPr>
          <w:rFonts w:ascii="Times New Roman" w:eastAsia="Times New Roman" w:hAnsi="Times New Roman" w:cs="Times New Roman"/>
          <w:b/>
          <w:sz w:val="24"/>
          <w:szCs w:val="24"/>
        </w:rPr>
      </w:pPr>
      <w:r w:rsidRPr="00E9398A">
        <w:rPr>
          <w:rFonts w:ascii="Times New Roman" w:eastAsia="Times New Roman" w:hAnsi="Times New Roman" w:cs="Times New Roman"/>
          <w:b/>
          <w:sz w:val="24"/>
          <w:szCs w:val="24"/>
        </w:rPr>
        <w:t>Evaluation Paradigms</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 xml:space="preserve">An evaluation paradigm is a critical approach that is influenced by some specific theories and philosophies. In this setting, criminal justice investigators are mandated to emphasize the </w:t>
      </w:r>
      <w:r w:rsidRPr="00E9398A">
        <w:rPr>
          <w:rFonts w:ascii="Times New Roman" w:eastAsia="Times New Roman" w:hAnsi="Times New Roman" w:cs="Times New Roman"/>
          <w:sz w:val="24"/>
          <w:szCs w:val="24"/>
        </w:rPr>
        <w:lastRenderedPageBreak/>
        <w:t xml:space="preserve">importance of evaluation paradigms in addressing the issues challenging criminal justice. This evaluation proposal will pay attention to the significant categories of problem evaluation. A lot of concern will be deployed to ensure accurate identification of cyber users. The usability testing will be applied to record the performance on typical tasks in </w:t>
      </w:r>
      <w:r w:rsidR="00114D8B" w:rsidRPr="00E9398A">
        <w:rPr>
          <w:rFonts w:ascii="Times New Roman" w:eastAsia="Times New Roman" w:hAnsi="Times New Roman" w:cs="Times New Roman"/>
          <w:sz w:val="24"/>
          <w:szCs w:val="24"/>
        </w:rPr>
        <w:t>organized</w:t>
      </w:r>
      <w:r w:rsidRPr="00E9398A">
        <w:rPr>
          <w:rFonts w:ascii="Times New Roman" w:eastAsia="Times New Roman" w:hAnsi="Times New Roman" w:cs="Times New Roman"/>
          <w:sz w:val="24"/>
          <w:szCs w:val="24"/>
        </w:rPr>
        <w:t xml:space="preserve"> settings</w:t>
      </w:r>
      <w:r w:rsidR="00114D8B">
        <w:rPr>
          <w:rFonts w:ascii="Times New Roman" w:eastAsia="Times New Roman" w:hAnsi="Times New Roman" w:cs="Times New Roman"/>
          <w:sz w:val="24"/>
          <w:szCs w:val="24"/>
        </w:rPr>
        <w:t xml:space="preserve"> </w:t>
      </w:r>
      <w:r w:rsidR="00114D8B" w:rsidRPr="00E9398A">
        <w:rPr>
          <w:rFonts w:ascii="Times New Roman" w:eastAsia="Times New Roman" w:hAnsi="Times New Roman" w:cs="Times New Roman"/>
          <w:sz w:val="24"/>
          <w:szCs w:val="24"/>
        </w:rPr>
        <w:t>(Marsili, 2019)</w:t>
      </w:r>
      <w:r w:rsidRPr="00E9398A">
        <w:rPr>
          <w:rFonts w:ascii="Times New Roman" w:eastAsia="Times New Roman" w:hAnsi="Times New Roman" w:cs="Times New Roman"/>
          <w:sz w:val="24"/>
          <w:szCs w:val="24"/>
        </w:rPr>
        <w:t>. Observation measures will provide accurate data about performance times, identify errors, and aid in giving a reasonable explanation of the reason as to why cyber-based crimes are on the rise. </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Another evaluation paradigm is ‘quick and dirty’ evaluation. This approach will be used to give an accurate description of standard practices in which crime investigators can formally source feedback from users to confirm that their ideas are aligned with the research goals and the documented findings. Field study is another essential evaluation paradigm which ought to be done in a typical setting. The model will help investigators to understand what the intern users undertake and how the growing technology influences them to perform programmed crimes. Another aspect is the predictive evaluation paradigm which would create an opportunity for criminal investigators to utilize their knowledge of typical users, at times supported by heuristics, to project the utility problems. The predictive paradigm is theory-based, and it does not require investigators to be present to estimate the likelihood of cyberterrorism or affiliated effects. Overall, the estimated evaluation paradigms set the pace from an accurate understanding of the cyberspace in the most investigate and legislative approach. However, there is a need for investigators to withhold the relevance of each paradigm to investigate how technology breeds cyberterrorism while ensuring consistency and proper documentation of findings. </w:t>
      </w:r>
    </w:p>
    <w:p w:rsidR="00E9398A" w:rsidRPr="005A79EE" w:rsidRDefault="00E9398A" w:rsidP="00E9398A">
      <w:pPr>
        <w:spacing w:after="0" w:line="480" w:lineRule="auto"/>
        <w:jc w:val="center"/>
        <w:rPr>
          <w:rFonts w:ascii="Times New Roman" w:eastAsia="Times New Roman" w:hAnsi="Times New Roman" w:cs="Times New Roman"/>
          <w:b/>
          <w:sz w:val="24"/>
          <w:szCs w:val="24"/>
        </w:rPr>
      </w:pPr>
    </w:p>
    <w:p w:rsidR="00E9398A" w:rsidRPr="005A79EE" w:rsidRDefault="00E9398A" w:rsidP="00E9398A">
      <w:pPr>
        <w:spacing w:after="0" w:line="480" w:lineRule="auto"/>
        <w:jc w:val="center"/>
        <w:rPr>
          <w:rFonts w:ascii="Times New Roman" w:eastAsia="Times New Roman" w:hAnsi="Times New Roman" w:cs="Times New Roman"/>
          <w:b/>
          <w:sz w:val="24"/>
          <w:szCs w:val="24"/>
        </w:rPr>
      </w:pPr>
    </w:p>
    <w:p w:rsidR="00E9398A" w:rsidRPr="00E9398A" w:rsidRDefault="00E9398A" w:rsidP="00E9398A">
      <w:pPr>
        <w:spacing w:after="0" w:line="480" w:lineRule="auto"/>
        <w:jc w:val="center"/>
        <w:rPr>
          <w:rFonts w:ascii="Times New Roman" w:eastAsia="Times New Roman" w:hAnsi="Times New Roman" w:cs="Times New Roman"/>
          <w:b/>
          <w:sz w:val="24"/>
          <w:szCs w:val="24"/>
        </w:rPr>
      </w:pPr>
      <w:r w:rsidRPr="00E9398A">
        <w:rPr>
          <w:rFonts w:ascii="Times New Roman" w:eastAsia="Times New Roman" w:hAnsi="Times New Roman" w:cs="Times New Roman"/>
          <w:b/>
          <w:sz w:val="24"/>
          <w:szCs w:val="24"/>
        </w:rPr>
        <w:lastRenderedPageBreak/>
        <w:t>Evaluation Design</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Behind every successful evaluation report lies a well-structured evaluation design, a structure that avails the precise information required to attend to each of the evaluation questions. In this evaluation proposal, the adopted evaluation design will be based on and aligned with the evaluation paradigms mentioned above, which occupy a more significant part in the documentation of findings. Also, the evaluation will put into consideration the need for accurate identification of stakeholders, modes of evaluation, data collection approaches, data analysis and report writing as follows; </w:t>
      </w:r>
    </w:p>
    <w:p w:rsidR="00E9398A" w:rsidRPr="00E9398A" w:rsidRDefault="00E9398A" w:rsidP="00E9398A">
      <w:pPr>
        <w:spacing w:after="0" w:line="480" w:lineRule="auto"/>
        <w:jc w:val="center"/>
        <w:rPr>
          <w:rFonts w:ascii="Times New Roman" w:eastAsia="Times New Roman" w:hAnsi="Times New Roman" w:cs="Times New Roman"/>
          <w:sz w:val="24"/>
          <w:szCs w:val="24"/>
        </w:rPr>
      </w:pPr>
      <w:r w:rsidRPr="005A79EE">
        <w:rPr>
          <w:rFonts w:ascii="Times New Roman" w:eastAsia="Times New Roman" w:hAnsi="Times New Roman" w:cs="Times New Roman"/>
          <w:i/>
          <w:iCs/>
          <w:sz w:val="24"/>
          <w:szCs w:val="24"/>
        </w:rPr>
        <w:t>Identifying Stakeholders</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Effective research lies in the hands of stakeholders. The primary stakeholders, in this setting, will provide basic requirements based on information from their line of specialization, and it will be essential to consider their importance in understanding the project constraints and risks. The primary stakeholders in this evaluation report included criminal justice investigators who stand a better chance to identify and report the loopholes of cyberterrorism (Kandel et al., 2017). Criminal justice administrators will be highly involved due to their ability to understand and address the diverse forms of cyber-enabled crimes while striving to restore justice. Elected legislators will also be considered based on the understanding that they can accurately influence the cybercrime affiliated policies (Kandel et al., 2017). The FBI agency, police officers, cyber-technicians, non-governmental organizations and any other intelligence officers will be highly valued due to their ability to shed light concerning cyberterrorism as a growing threat to justice. </w:t>
      </w:r>
    </w:p>
    <w:p w:rsidR="00E9398A" w:rsidRPr="00E9398A" w:rsidRDefault="00E9398A" w:rsidP="00E9398A">
      <w:pPr>
        <w:spacing w:after="0" w:line="480" w:lineRule="auto"/>
        <w:jc w:val="center"/>
        <w:rPr>
          <w:rFonts w:ascii="Times New Roman" w:eastAsia="Times New Roman" w:hAnsi="Times New Roman" w:cs="Times New Roman"/>
          <w:sz w:val="24"/>
          <w:szCs w:val="24"/>
        </w:rPr>
      </w:pPr>
      <w:r w:rsidRPr="005A79EE">
        <w:rPr>
          <w:rFonts w:ascii="Times New Roman" w:eastAsia="Times New Roman" w:hAnsi="Times New Roman" w:cs="Times New Roman"/>
          <w:i/>
          <w:iCs/>
          <w:sz w:val="24"/>
          <w:szCs w:val="24"/>
        </w:rPr>
        <w:t>Evaluation types</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 xml:space="preserve">The evaluation will involve three major evaluation approaches to define the effectiveness of the entire project. The process evaluation will be applied to measure the activities of the </w:t>
      </w:r>
      <w:r w:rsidRPr="00E9398A">
        <w:rPr>
          <w:rFonts w:ascii="Times New Roman" w:eastAsia="Times New Roman" w:hAnsi="Times New Roman" w:cs="Times New Roman"/>
          <w:sz w:val="24"/>
          <w:szCs w:val="24"/>
        </w:rPr>
        <w:lastRenderedPageBreak/>
        <w:t>program, assess the quality of the program and the final destination of the affiliate results (Akhgar &amp; Brewster, 2016). The impact evaluation will be used to evaluate the immediate effect of the program completion in conjunction with the aligned program objectives. Ultimately, outcome evaluation will be factored to ensure that effective reflection of the long-term impacts of cyberterrorism as the prime program goal not only to the United States but also to the interconnected world. </w:t>
      </w:r>
    </w:p>
    <w:p w:rsidR="00E9398A" w:rsidRPr="00E9398A" w:rsidRDefault="00E9398A" w:rsidP="00E9398A">
      <w:pPr>
        <w:spacing w:after="0" w:line="480" w:lineRule="auto"/>
        <w:jc w:val="center"/>
        <w:rPr>
          <w:rFonts w:ascii="Times New Roman" w:eastAsia="Times New Roman" w:hAnsi="Times New Roman" w:cs="Times New Roman"/>
          <w:sz w:val="24"/>
          <w:szCs w:val="24"/>
        </w:rPr>
      </w:pPr>
      <w:r w:rsidRPr="005A79EE">
        <w:rPr>
          <w:rFonts w:ascii="Times New Roman" w:eastAsia="Times New Roman" w:hAnsi="Times New Roman" w:cs="Times New Roman"/>
          <w:i/>
          <w:iCs/>
          <w:sz w:val="24"/>
          <w:szCs w:val="24"/>
        </w:rPr>
        <w:t>Data collection strategies</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Data collection approaches play a critical role in the entire evaluation process. For that reason, the proposed evaluation will factor both qualitative and quantitative data collection approaches because there is a need to understand both numerical and empirical trends of cybercrimes. Herein, qualitative and quantitative data collection approaches will entail surveys and questionnaires, interviews, observation, focus groups, and progress tracking. These data collection strategy will be executed in the most promising criminal setting. </w:t>
      </w:r>
    </w:p>
    <w:p w:rsidR="00E9398A" w:rsidRPr="00E9398A" w:rsidRDefault="00E9398A" w:rsidP="00E9398A">
      <w:pPr>
        <w:spacing w:after="0" w:line="480" w:lineRule="auto"/>
        <w:jc w:val="center"/>
        <w:rPr>
          <w:rFonts w:ascii="Times New Roman" w:eastAsia="Times New Roman" w:hAnsi="Times New Roman" w:cs="Times New Roman"/>
          <w:sz w:val="24"/>
          <w:szCs w:val="24"/>
        </w:rPr>
      </w:pPr>
      <w:r w:rsidRPr="005A79EE">
        <w:rPr>
          <w:rFonts w:ascii="Times New Roman" w:eastAsia="Times New Roman" w:hAnsi="Times New Roman" w:cs="Times New Roman"/>
          <w:i/>
          <w:iCs/>
          <w:sz w:val="24"/>
          <w:szCs w:val="24"/>
        </w:rPr>
        <w:t>Data analysis</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 xml:space="preserve">Data analysis forms an essential concept in evaluation through cleaning, transforming, as well as modelling data. In this case, it will help in discovering the necessary information for decision making in addressing cyberterrorism as a critical issue (Akhgar &amp; Brewster, 2016). Data analysis will be aimed at extracting the most useful information from the collected data, and this will enable the concerned stakeholders to make the best judgment based on the data analysis. The most appropriate approaches of data analysis in this subject area include; content analysis which will shed light on the available qualitative data. Grounded theory approach will be used to explain why certain cyber enable crimes happened. Discourse analysis will allow for an accurate understanding of interactions amid people before crime (Liu et al., 2019). Quantitative data will </w:t>
      </w:r>
      <w:r w:rsidRPr="00E9398A">
        <w:rPr>
          <w:rFonts w:ascii="Times New Roman" w:eastAsia="Times New Roman" w:hAnsi="Times New Roman" w:cs="Times New Roman"/>
          <w:sz w:val="24"/>
          <w:szCs w:val="24"/>
        </w:rPr>
        <w:lastRenderedPageBreak/>
        <w:t>be factor-in data preparation by organizing the evident data into something meaningful and readable. It entails data validation and data coding. Overall, both qualitative and quantitative data analysis approaches are aimed at ensuring improved decisions in justice administration. </w:t>
      </w:r>
    </w:p>
    <w:p w:rsidR="00E9398A" w:rsidRPr="00E9398A" w:rsidRDefault="00E9398A" w:rsidP="00E9398A">
      <w:pPr>
        <w:spacing w:after="0" w:line="480" w:lineRule="auto"/>
        <w:jc w:val="center"/>
        <w:rPr>
          <w:rFonts w:ascii="Times New Roman" w:eastAsia="Times New Roman" w:hAnsi="Times New Roman" w:cs="Times New Roman"/>
          <w:b/>
          <w:sz w:val="24"/>
          <w:szCs w:val="24"/>
        </w:rPr>
      </w:pPr>
      <w:r w:rsidRPr="00E9398A">
        <w:rPr>
          <w:rFonts w:ascii="Times New Roman" w:eastAsia="Times New Roman" w:hAnsi="Times New Roman" w:cs="Times New Roman"/>
          <w:b/>
          <w:sz w:val="24"/>
          <w:szCs w:val="24"/>
        </w:rPr>
        <w:t>Writing report</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Report writing calls for a collective and concise presentation of the entire evaluation process, which is purposely written for a particular audience (Akhgar &amp; Brewster, 2016). The evaluation report will follow a specific outline which will entail:</w:t>
      </w:r>
    </w:p>
    <w:p w:rsidR="00E9398A" w:rsidRPr="005A79EE" w:rsidRDefault="00E9398A" w:rsidP="00E9398A">
      <w:pPr>
        <w:pStyle w:val="ListParagraph"/>
        <w:numPr>
          <w:ilvl w:val="0"/>
          <w:numId w:val="3"/>
        </w:numPr>
        <w:spacing w:after="0" w:line="480" w:lineRule="auto"/>
        <w:rPr>
          <w:rFonts w:ascii="Times New Roman" w:eastAsia="Times New Roman" w:hAnsi="Times New Roman" w:cs="Times New Roman"/>
          <w:sz w:val="24"/>
          <w:szCs w:val="24"/>
        </w:rPr>
      </w:pPr>
      <w:r w:rsidRPr="005A79EE">
        <w:rPr>
          <w:rFonts w:ascii="Times New Roman" w:eastAsia="Times New Roman" w:hAnsi="Times New Roman" w:cs="Times New Roman"/>
          <w:sz w:val="24"/>
          <w:szCs w:val="24"/>
        </w:rPr>
        <w:t>Title page and table of contents. The table of content will be presented based on the length of the report since every topic and sub-topic must be captured. </w:t>
      </w:r>
    </w:p>
    <w:p w:rsidR="00E9398A" w:rsidRPr="005A79EE" w:rsidRDefault="00E9398A" w:rsidP="00E9398A">
      <w:pPr>
        <w:pStyle w:val="ListParagraph"/>
        <w:numPr>
          <w:ilvl w:val="0"/>
          <w:numId w:val="3"/>
        </w:numPr>
        <w:spacing w:after="0" w:line="480" w:lineRule="auto"/>
        <w:rPr>
          <w:rFonts w:ascii="Times New Roman" w:eastAsia="Times New Roman" w:hAnsi="Times New Roman" w:cs="Times New Roman"/>
          <w:sz w:val="24"/>
          <w:szCs w:val="24"/>
        </w:rPr>
      </w:pPr>
      <w:r w:rsidRPr="005A79EE">
        <w:rPr>
          <w:rFonts w:ascii="Times New Roman" w:eastAsia="Times New Roman" w:hAnsi="Times New Roman" w:cs="Times New Roman"/>
          <w:sz w:val="24"/>
          <w:szCs w:val="24"/>
        </w:rPr>
        <w:t>Executive summary. A brief overview of the entire report will be included to allow readers to get a rapid review of the contents from the first sight</w:t>
      </w:r>
    </w:p>
    <w:p w:rsidR="00E9398A" w:rsidRPr="005A79EE" w:rsidRDefault="00E9398A" w:rsidP="00E9398A">
      <w:pPr>
        <w:pStyle w:val="ListParagraph"/>
        <w:numPr>
          <w:ilvl w:val="0"/>
          <w:numId w:val="3"/>
        </w:numPr>
        <w:spacing w:after="0" w:line="480" w:lineRule="auto"/>
        <w:rPr>
          <w:rFonts w:ascii="Times New Roman" w:eastAsia="Times New Roman" w:hAnsi="Times New Roman" w:cs="Times New Roman"/>
          <w:sz w:val="24"/>
          <w:szCs w:val="24"/>
        </w:rPr>
      </w:pPr>
      <w:r w:rsidRPr="005A79EE">
        <w:rPr>
          <w:rFonts w:ascii="Times New Roman" w:eastAsia="Times New Roman" w:hAnsi="Times New Roman" w:cs="Times New Roman"/>
          <w:sz w:val="24"/>
          <w:szCs w:val="24"/>
        </w:rPr>
        <w:t>An introduction will be featured to give a brief description of the context and background and structure of the entire research. </w:t>
      </w:r>
    </w:p>
    <w:p w:rsidR="00E9398A" w:rsidRPr="005A79EE" w:rsidRDefault="00E9398A" w:rsidP="00E9398A">
      <w:pPr>
        <w:pStyle w:val="ListParagraph"/>
        <w:numPr>
          <w:ilvl w:val="0"/>
          <w:numId w:val="3"/>
        </w:numPr>
        <w:spacing w:after="0" w:line="480" w:lineRule="auto"/>
        <w:rPr>
          <w:rFonts w:ascii="Times New Roman" w:eastAsia="Times New Roman" w:hAnsi="Times New Roman" w:cs="Times New Roman"/>
          <w:sz w:val="24"/>
          <w:szCs w:val="24"/>
        </w:rPr>
      </w:pPr>
      <w:r w:rsidRPr="005A79EE">
        <w:rPr>
          <w:rFonts w:ascii="Times New Roman" w:eastAsia="Times New Roman" w:hAnsi="Times New Roman" w:cs="Times New Roman"/>
          <w:sz w:val="24"/>
          <w:szCs w:val="24"/>
        </w:rPr>
        <w:t>Discussion. This section forms the main body of the report, and it seeks to explain the conclusion and justify the recommendations. </w:t>
      </w:r>
    </w:p>
    <w:p w:rsidR="00E9398A" w:rsidRPr="005A79EE" w:rsidRDefault="00E9398A" w:rsidP="00E9398A">
      <w:pPr>
        <w:pStyle w:val="ListParagraph"/>
        <w:numPr>
          <w:ilvl w:val="0"/>
          <w:numId w:val="3"/>
        </w:numPr>
        <w:spacing w:after="0" w:line="480" w:lineRule="auto"/>
        <w:rPr>
          <w:rFonts w:ascii="Times New Roman" w:eastAsia="Times New Roman" w:hAnsi="Times New Roman" w:cs="Times New Roman"/>
          <w:sz w:val="24"/>
          <w:szCs w:val="24"/>
        </w:rPr>
      </w:pPr>
      <w:r w:rsidRPr="005A79EE">
        <w:rPr>
          <w:rFonts w:ascii="Times New Roman" w:eastAsia="Times New Roman" w:hAnsi="Times New Roman" w:cs="Times New Roman"/>
          <w:sz w:val="24"/>
          <w:szCs w:val="24"/>
        </w:rPr>
        <w:t>Conclusion. This section will be included to collect together the key objectives of the report as set out in the introduction. </w:t>
      </w:r>
    </w:p>
    <w:p w:rsidR="00E9398A" w:rsidRPr="005A79EE" w:rsidRDefault="00E9398A" w:rsidP="00E9398A">
      <w:pPr>
        <w:pStyle w:val="ListParagraph"/>
        <w:numPr>
          <w:ilvl w:val="0"/>
          <w:numId w:val="3"/>
        </w:numPr>
        <w:spacing w:after="0" w:line="480" w:lineRule="auto"/>
        <w:rPr>
          <w:rFonts w:ascii="Times New Roman" w:eastAsia="Times New Roman" w:hAnsi="Times New Roman" w:cs="Times New Roman"/>
          <w:sz w:val="24"/>
          <w:szCs w:val="24"/>
        </w:rPr>
      </w:pPr>
      <w:r w:rsidRPr="005A79EE">
        <w:rPr>
          <w:rFonts w:ascii="Times New Roman" w:eastAsia="Times New Roman" w:hAnsi="Times New Roman" w:cs="Times New Roman"/>
          <w:sz w:val="24"/>
          <w:szCs w:val="24"/>
        </w:rPr>
        <w:t>Recommendation marks the last part of the report. It will capture all stakeholders’ points of view on the probable solutions towards addressing cyberterrorism ad a mega issue in the United States and beyond. </w:t>
      </w:r>
    </w:p>
    <w:p w:rsidR="00E9398A" w:rsidRPr="005A79EE" w:rsidRDefault="00E9398A" w:rsidP="00E9398A">
      <w:pPr>
        <w:pStyle w:val="ListParagraph"/>
        <w:numPr>
          <w:ilvl w:val="0"/>
          <w:numId w:val="3"/>
        </w:numPr>
        <w:spacing w:after="0" w:line="480" w:lineRule="auto"/>
        <w:rPr>
          <w:rFonts w:ascii="Times New Roman" w:eastAsia="Times New Roman" w:hAnsi="Times New Roman" w:cs="Times New Roman"/>
          <w:sz w:val="24"/>
          <w:szCs w:val="24"/>
        </w:rPr>
      </w:pPr>
      <w:r w:rsidRPr="005A79EE">
        <w:rPr>
          <w:rFonts w:ascii="Times New Roman" w:eastAsia="Times New Roman" w:hAnsi="Times New Roman" w:cs="Times New Roman"/>
          <w:sz w:val="24"/>
          <w:szCs w:val="24"/>
        </w:rPr>
        <w:t>Other sections will include references and appendices that support the entire research and relate to the evaluation findings. </w:t>
      </w:r>
    </w:p>
    <w:p w:rsidR="005A79EE" w:rsidRPr="005A79EE" w:rsidRDefault="005A79EE" w:rsidP="00E9398A">
      <w:pPr>
        <w:spacing w:after="0" w:line="480" w:lineRule="auto"/>
        <w:jc w:val="center"/>
        <w:rPr>
          <w:rFonts w:ascii="Times New Roman" w:eastAsia="Times New Roman" w:hAnsi="Times New Roman" w:cs="Times New Roman"/>
          <w:b/>
          <w:sz w:val="24"/>
          <w:szCs w:val="24"/>
        </w:rPr>
      </w:pPr>
    </w:p>
    <w:p w:rsidR="00E9398A" w:rsidRPr="00E9398A" w:rsidRDefault="00E9398A" w:rsidP="00E9398A">
      <w:pPr>
        <w:spacing w:after="0" w:line="480" w:lineRule="auto"/>
        <w:jc w:val="center"/>
        <w:rPr>
          <w:rFonts w:ascii="Times New Roman" w:eastAsia="Times New Roman" w:hAnsi="Times New Roman" w:cs="Times New Roman"/>
          <w:b/>
          <w:sz w:val="24"/>
          <w:szCs w:val="24"/>
        </w:rPr>
      </w:pPr>
      <w:r w:rsidRPr="00E9398A">
        <w:rPr>
          <w:rFonts w:ascii="Times New Roman" w:eastAsia="Times New Roman" w:hAnsi="Times New Roman" w:cs="Times New Roman"/>
          <w:b/>
          <w:sz w:val="24"/>
          <w:szCs w:val="24"/>
        </w:rPr>
        <w:lastRenderedPageBreak/>
        <w:t>Sharing results</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Cyberterrorism is among the most controversial issues in criminal justice, and any other sector and hence the relevance of the evaluation findings can never be estimated. In this concern, the report will be written, proofread, reviewed and accurately edited to omit any possible errors. Confidentiality will be factored. The information will be formatted and published to create professional journals in criminal justice. All stakeholders and other interested parties will be given free access to the published report as a means to ascertain the widespread awareness of the risks of cyberterrorism.</w:t>
      </w:r>
    </w:p>
    <w:p w:rsidR="00E9398A" w:rsidRPr="00E9398A" w:rsidRDefault="00E9398A" w:rsidP="00E9398A">
      <w:pPr>
        <w:spacing w:after="0" w:line="480" w:lineRule="auto"/>
        <w:jc w:val="center"/>
        <w:rPr>
          <w:rFonts w:ascii="Times New Roman" w:eastAsia="Times New Roman" w:hAnsi="Times New Roman" w:cs="Times New Roman"/>
          <w:b/>
          <w:sz w:val="24"/>
          <w:szCs w:val="24"/>
        </w:rPr>
      </w:pPr>
      <w:r w:rsidRPr="00E9398A">
        <w:rPr>
          <w:rFonts w:ascii="Times New Roman" w:eastAsia="Times New Roman" w:hAnsi="Times New Roman" w:cs="Times New Roman"/>
          <w:b/>
          <w:sz w:val="24"/>
          <w:szCs w:val="24"/>
        </w:rPr>
        <w:t>Meta-evaluation</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Meta-evaluation will help to underscore the fact that the risks of cybercrime should never be overlooked due to the affiliated risks as supported by justice administration professionals (Kandel et al., 2017). The analysis will be founded on 25 of the most reviewed and recommended journal articles in criminal justice concerning cyber-enabled terrorism. But, the selected journals must be current, about two years after publication and they must reflect the linkage amid ICT and cyberterrorism. The quality evaluation will be factored during article selection.</w:t>
      </w:r>
    </w:p>
    <w:p w:rsidR="00E9398A" w:rsidRPr="00E9398A" w:rsidRDefault="00E9398A" w:rsidP="00E9398A">
      <w:pPr>
        <w:spacing w:after="0" w:line="480" w:lineRule="auto"/>
        <w:jc w:val="center"/>
        <w:rPr>
          <w:rFonts w:ascii="Times New Roman" w:eastAsia="Times New Roman" w:hAnsi="Times New Roman" w:cs="Times New Roman"/>
          <w:b/>
          <w:sz w:val="24"/>
          <w:szCs w:val="24"/>
        </w:rPr>
      </w:pPr>
      <w:r w:rsidRPr="00E9398A">
        <w:rPr>
          <w:rFonts w:ascii="Times New Roman" w:eastAsia="Times New Roman" w:hAnsi="Times New Roman" w:cs="Times New Roman"/>
          <w:b/>
          <w:sz w:val="24"/>
          <w:szCs w:val="24"/>
        </w:rPr>
        <w:t>Project Management</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Effective leadership will be factored in the proposed evaluation. Herein, every step of the evaluation process will be outlined to ensure accuracy. Stakeholders will be required to act per the projected code of conduct to ensure ethical legality of the ultimate report. Issues will be addressed in the most diplomatic and legal approach. Community engagement will be inculcated to ease data mining and reporting. Solidarity will be a key tenet in the entire evaluation.</w:t>
      </w:r>
    </w:p>
    <w:p w:rsidR="005A79EE" w:rsidRPr="005A79EE" w:rsidRDefault="005A79EE" w:rsidP="00E9398A">
      <w:pPr>
        <w:spacing w:after="0" w:line="480" w:lineRule="auto"/>
        <w:jc w:val="center"/>
        <w:rPr>
          <w:rFonts w:ascii="Times New Roman" w:eastAsia="Times New Roman" w:hAnsi="Times New Roman" w:cs="Times New Roman"/>
          <w:b/>
          <w:sz w:val="24"/>
          <w:szCs w:val="24"/>
        </w:rPr>
      </w:pPr>
    </w:p>
    <w:p w:rsidR="00E9398A" w:rsidRPr="00E9398A" w:rsidRDefault="00E9398A" w:rsidP="00E9398A">
      <w:pPr>
        <w:spacing w:after="0" w:line="480" w:lineRule="auto"/>
        <w:jc w:val="center"/>
        <w:rPr>
          <w:rFonts w:ascii="Times New Roman" w:eastAsia="Times New Roman" w:hAnsi="Times New Roman" w:cs="Times New Roman"/>
          <w:b/>
          <w:sz w:val="24"/>
          <w:szCs w:val="24"/>
        </w:rPr>
      </w:pPr>
      <w:r w:rsidRPr="00E9398A">
        <w:rPr>
          <w:rFonts w:ascii="Times New Roman" w:eastAsia="Times New Roman" w:hAnsi="Times New Roman" w:cs="Times New Roman"/>
          <w:b/>
          <w:sz w:val="24"/>
          <w:szCs w:val="24"/>
        </w:rPr>
        <w:lastRenderedPageBreak/>
        <w:t>Conclusion</w:t>
      </w:r>
    </w:p>
    <w:p w:rsidR="00E9398A" w:rsidRPr="00E9398A" w:rsidRDefault="00E9398A" w:rsidP="00E9398A">
      <w:pPr>
        <w:spacing w:after="0" w:line="480" w:lineRule="auto"/>
        <w:ind w:firstLine="720"/>
        <w:rPr>
          <w:rFonts w:ascii="Times New Roman" w:eastAsia="Times New Roman" w:hAnsi="Times New Roman" w:cs="Times New Roman"/>
          <w:sz w:val="24"/>
          <w:szCs w:val="24"/>
        </w:rPr>
      </w:pPr>
      <w:r w:rsidRPr="00E9398A">
        <w:rPr>
          <w:rFonts w:ascii="Times New Roman" w:eastAsia="Times New Roman" w:hAnsi="Times New Roman" w:cs="Times New Roman"/>
          <w:sz w:val="24"/>
          <w:szCs w:val="24"/>
        </w:rPr>
        <w:t>Cyberterrorism is a growing threat to the United States and the entire world. For that reason, everyone is mandated to contribute towards addressing cyber-enabled threat to restore justice and w</w:t>
      </w:r>
      <w:bookmarkStart w:id="0" w:name="_GoBack"/>
      <w:bookmarkEnd w:id="0"/>
      <w:r w:rsidRPr="00E9398A">
        <w:rPr>
          <w:rFonts w:ascii="Times New Roman" w:eastAsia="Times New Roman" w:hAnsi="Times New Roman" w:cs="Times New Roman"/>
          <w:sz w:val="24"/>
          <w:szCs w:val="24"/>
        </w:rPr>
        <w:t>ellness of the interconnected world. Reducing cybercrime will not only empower criminal justice professionals but also boost intelligence in any other industry with increased efficiency (Blakemore, 2016). The outlined evaluation proposal will serve as a paramount step towards identifying and taking precautionary measures to address cyberterrorism threats. The ultimate report will be shared with free access to enhance public awareness on the effects of cyberterrorism as a growing issue in criminal justice. </w:t>
      </w:r>
    </w:p>
    <w:p w:rsidR="00F017C4" w:rsidRPr="005A79EE" w:rsidRDefault="00F017C4" w:rsidP="00E9398A">
      <w:pPr>
        <w:spacing w:line="480" w:lineRule="auto"/>
        <w:rPr>
          <w:rFonts w:ascii="Times New Roman" w:hAnsi="Times New Roman" w:cs="Times New Roman"/>
          <w:sz w:val="24"/>
          <w:szCs w:val="24"/>
        </w:rPr>
      </w:pPr>
    </w:p>
    <w:p w:rsidR="00F017C4" w:rsidRPr="005A79EE" w:rsidRDefault="00F017C4" w:rsidP="00E9398A">
      <w:pPr>
        <w:spacing w:line="480" w:lineRule="auto"/>
        <w:rPr>
          <w:rFonts w:ascii="Times New Roman" w:hAnsi="Times New Roman" w:cs="Times New Roman"/>
          <w:sz w:val="24"/>
          <w:szCs w:val="24"/>
        </w:rPr>
      </w:pPr>
    </w:p>
    <w:p w:rsidR="00F017C4" w:rsidRPr="005A79EE" w:rsidRDefault="00F017C4" w:rsidP="00E9398A">
      <w:pPr>
        <w:spacing w:line="480" w:lineRule="auto"/>
        <w:rPr>
          <w:rFonts w:ascii="Times New Roman" w:hAnsi="Times New Roman" w:cs="Times New Roman"/>
          <w:sz w:val="24"/>
          <w:szCs w:val="24"/>
        </w:rPr>
      </w:pPr>
    </w:p>
    <w:p w:rsidR="005A79EE" w:rsidRPr="005A79EE" w:rsidRDefault="005A79EE" w:rsidP="00E9398A">
      <w:pPr>
        <w:spacing w:line="480" w:lineRule="auto"/>
        <w:rPr>
          <w:rFonts w:ascii="Times New Roman" w:hAnsi="Times New Roman" w:cs="Times New Roman"/>
          <w:sz w:val="24"/>
          <w:szCs w:val="24"/>
        </w:rPr>
      </w:pPr>
    </w:p>
    <w:p w:rsidR="005A79EE" w:rsidRPr="005A79EE" w:rsidRDefault="005A79EE" w:rsidP="00E9398A">
      <w:pPr>
        <w:spacing w:line="480" w:lineRule="auto"/>
        <w:rPr>
          <w:rFonts w:ascii="Times New Roman" w:hAnsi="Times New Roman" w:cs="Times New Roman"/>
          <w:sz w:val="24"/>
          <w:szCs w:val="24"/>
        </w:rPr>
      </w:pPr>
    </w:p>
    <w:p w:rsidR="005A79EE" w:rsidRPr="005A79EE" w:rsidRDefault="005A79EE" w:rsidP="00E9398A">
      <w:pPr>
        <w:spacing w:line="480" w:lineRule="auto"/>
        <w:rPr>
          <w:rFonts w:ascii="Times New Roman" w:hAnsi="Times New Roman" w:cs="Times New Roman"/>
          <w:sz w:val="24"/>
          <w:szCs w:val="24"/>
        </w:rPr>
      </w:pPr>
    </w:p>
    <w:p w:rsidR="005A79EE" w:rsidRPr="005A79EE" w:rsidRDefault="005A79EE" w:rsidP="00E9398A">
      <w:pPr>
        <w:spacing w:line="480" w:lineRule="auto"/>
        <w:rPr>
          <w:rFonts w:ascii="Times New Roman" w:hAnsi="Times New Roman" w:cs="Times New Roman"/>
          <w:sz w:val="24"/>
          <w:szCs w:val="24"/>
        </w:rPr>
      </w:pPr>
    </w:p>
    <w:p w:rsidR="005A79EE" w:rsidRPr="005A79EE" w:rsidRDefault="005A79EE" w:rsidP="00E9398A">
      <w:pPr>
        <w:spacing w:line="480" w:lineRule="auto"/>
        <w:rPr>
          <w:rFonts w:ascii="Times New Roman" w:hAnsi="Times New Roman" w:cs="Times New Roman"/>
          <w:sz w:val="24"/>
          <w:szCs w:val="24"/>
        </w:rPr>
      </w:pPr>
    </w:p>
    <w:p w:rsidR="005A79EE" w:rsidRPr="005A79EE" w:rsidRDefault="005A79EE" w:rsidP="00E9398A">
      <w:pPr>
        <w:spacing w:line="480" w:lineRule="auto"/>
        <w:rPr>
          <w:rFonts w:ascii="Times New Roman" w:hAnsi="Times New Roman" w:cs="Times New Roman"/>
          <w:sz w:val="24"/>
          <w:szCs w:val="24"/>
        </w:rPr>
      </w:pPr>
    </w:p>
    <w:p w:rsidR="005A79EE" w:rsidRPr="005A79EE" w:rsidRDefault="005A79EE" w:rsidP="00E9398A">
      <w:pPr>
        <w:spacing w:line="480" w:lineRule="auto"/>
        <w:rPr>
          <w:rFonts w:ascii="Times New Roman" w:hAnsi="Times New Roman" w:cs="Times New Roman"/>
          <w:sz w:val="24"/>
          <w:szCs w:val="24"/>
        </w:rPr>
      </w:pPr>
    </w:p>
    <w:p w:rsidR="00F017C4" w:rsidRPr="005A79EE" w:rsidRDefault="00F017C4" w:rsidP="00E9398A">
      <w:pPr>
        <w:spacing w:line="480" w:lineRule="auto"/>
        <w:rPr>
          <w:rFonts w:ascii="Times New Roman" w:hAnsi="Times New Roman" w:cs="Times New Roman"/>
          <w:sz w:val="24"/>
          <w:szCs w:val="24"/>
        </w:rPr>
      </w:pPr>
    </w:p>
    <w:p w:rsidR="000136EA" w:rsidRPr="005A79EE" w:rsidRDefault="000136EA" w:rsidP="00E9398A">
      <w:pPr>
        <w:spacing w:line="480" w:lineRule="auto"/>
        <w:jc w:val="center"/>
        <w:rPr>
          <w:rFonts w:ascii="Times New Roman" w:hAnsi="Times New Roman" w:cs="Times New Roman"/>
          <w:sz w:val="24"/>
          <w:szCs w:val="24"/>
        </w:rPr>
      </w:pPr>
      <w:r w:rsidRPr="005A79EE">
        <w:rPr>
          <w:rFonts w:ascii="Times New Roman" w:hAnsi="Times New Roman" w:cs="Times New Roman"/>
          <w:sz w:val="24"/>
          <w:szCs w:val="24"/>
        </w:rPr>
        <w:lastRenderedPageBreak/>
        <w:t>References</w:t>
      </w:r>
    </w:p>
    <w:p w:rsidR="00E9398A" w:rsidRPr="005A79EE" w:rsidRDefault="00E9398A" w:rsidP="00E9398A">
      <w:pPr>
        <w:spacing w:line="480" w:lineRule="auto"/>
        <w:ind w:left="720" w:hanging="720"/>
        <w:rPr>
          <w:rFonts w:ascii="Times New Roman" w:hAnsi="Times New Roman" w:cs="Times New Roman"/>
          <w:sz w:val="24"/>
          <w:szCs w:val="24"/>
          <w:shd w:val="clear" w:color="auto" w:fill="FFFFFF"/>
        </w:rPr>
      </w:pPr>
      <w:r w:rsidRPr="005A79EE">
        <w:rPr>
          <w:rFonts w:ascii="Times New Roman" w:hAnsi="Times New Roman" w:cs="Times New Roman"/>
          <w:sz w:val="24"/>
          <w:szCs w:val="24"/>
          <w:shd w:val="clear" w:color="auto" w:fill="FFFFFF"/>
        </w:rPr>
        <w:t>Akhgar, B., &amp; Brewster, B. (2016). Combating cyber cime and cyber terrorism. </w:t>
      </w:r>
      <w:r w:rsidRPr="005A79EE">
        <w:rPr>
          <w:rFonts w:ascii="Times New Roman" w:hAnsi="Times New Roman" w:cs="Times New Roman"/>
          <w:i/>
          <w:iCs/>
          <w:sz w:val="24"/>
          <w:szCs w:val="24"/>
          <w:shd w:val="clear" w:color="auto" w:fill="FFFFFF"/>
        </w:rPr>
        <w:t>Cham, Switzerland: Springer</w:t>
      </w:r>
      <w:r w:rsidRPr="005A79EE">
        <w:rPr>
          <w:rFonts w:ascii="Times New Roman" w:hAnsi="Times New Roman" w:cs="Times New Roman"/>
          <w:sz w:val="24"/>
          <w:szCs w:val="24"/>
          <w:shd w:val="clear" w:color="auto" w:fill="FFFFFF"/>
        </w:rPr>
        <w:t>.</w:t>
      </w:r>
    </w:p>
    <w:p w:rsidR="00E9398A" w:rsidRPr="005A79EE" w:rsidRDefault="00E9398A" w:rsidP="00E9398A">
      <w:pPr>
        <w:spacing w:line="480" w:lineRule="auto"/>
        <w:ind w:left="720" w:hanging="720"/>
        <w:rPr>
          <w:rFonts w:ascii="Times New Roman" w:hAnsi="Times New Roman" w:cs="Times New Roman"/>
          <w:sz w:val="24"/>
          <w:szCs w:val="24"/>
          <w:shd w:val="clear" w:color="auto" w:fill="FFFFFF"/>
        </w:rPr>
      </w:pPr>
      <w:r w:rsidRPr="005A79EE">
        <w:rPr>
          <w:rFonts w:ascii="Times New Roman" w:hAnsi="Times New Roman" w:cs="Times New Roman"/>
          <w:sz w:val="24"/>
          <w:szCs w:val="24"/>
          <w:shd w:val="clear" w:color="auto" w:fill="FFFFFF"/>
        </w:rPr>
        <w:t>Blakemore, B. (2016). </w:t>
      </w:r>
      <w:r w:rsidRPr="005A79EE">
        <w:rPr>
          <w:rFonts w:ascii="Times New Roman" w:hAnsi="Times New Roman" w:cs="Times New Roman"/>
          <w:i/>
          <w:iCs/>
          <w:sz w:val="24"/>
          <w:szCs w:val="24"/>
          <w:shd w:val="clear" w:color="auto" w:fill="FFFFFF"/>
        </w:rPr>
        <w:t>Policing cyber hate, cyber threats and cyber terrorism</w:t>
      </w:r>
      <w:r w:rsidRPr="005A79EE">
        <w:rPr>
          <w:rFonts w:ascii="Times New Roman" w:hAnsi="Times New Roman" w:cs="Times New Roman"/>
          <w:sz w:val="24"/>
          <w:szCs w:val="24"/>
          <w:shd w:val="clear" w:color="auto" w:fill="FFFFFF"/>
        </w:rPr>
        <w:t>. Routledge.</w:t>
      </w:r>
    </w:p>
    <w:p w:rsidR="00E9398A" w:rsidRPr="005A79EE" w:rsidRDefault="00E9398A" w:rsidP="00E9398A">
      <w:pPr>
        <w:spacing w:line="480" w:lineRule="auto"/>
        <w:ind w:left="720" w:hanging="720"/>
        <w:rPr>
          <w:rFonts w:ascii="Times New Roman" w:hAnsi="Times New Roman" w:cs="Times New Roman"/>
          <w:sz w:val="24"/>
          <w:szCs w:val="24"/>
          <w:shd w:val="clear" w:color="auto" w:fill="FFFFFF"/>
        </w:rPr>
      </w:pPr>
      <w:r w:rsidRPr="005A79EE">
        <w:rPr>
          <w:rFonts w:ascii="Times New Roman" w:hAnsi="Times New Roman" w:cs="Times New Roman"/>
          <w:sz w:val="24"/>
          <w:szCs w:val="24"/>
          <w:shd w:val="clear" w:color="auto" w:fill="FFFFFF"/>
        </w:rPr>
        <w:t>Kandel, N., Sreedharan, R., Chungong, S., Sliter, K., Nikkari, S., Ijaz, K., &amp; Rodier, G. R. (2017). Joint external evaluation process: bringing multiple sectors together for global health security. </w:t>
      </w:r>
      <w:r w:rsidRPr="005A79EE">
        <w:rPr>
          <w:rFonts w:ascii="Times New Roman" w:hAnsi="Times New Roman" w:cs="Times New Roman"/>
          <w:i/>
          <w:iCs/>
          <w:sz w:val="24"/>
          <w:szCs w:val="24"/>
          <w:shd w:val="clear" w:color="auto" w:fill="FFFFFF"/>
        </w:rPr>
        <w:t>The Lancet Global Health</w:t>
      </w:r>
      <w:r w:rsidRPr="005A79EE">
        <w:rPr>
          <w:rFonts w:ascii="Times New Roman" w:hAnsi="Times New Roman" w:cs="Times New Roman"/>
          <w:sz w:val="24"/>
          <w:szCs w:val="24"/>
          <w:shd w:val="clear" w:color="auto" w:fill="FFFFFF"/>
        </w:rPr>
        <w:t>, </w:t>
      </w:r>
      <w:r w:rsidRPr="005A79EE">
        <w:rPr>
          <w:rFonts w:ascii="Times New Roman" w:hAnsi="Times New Roman" w:cs="Times New Roman"/>
          <w:i/>
          <w:iCs/>
          <w:sz w:val="24"/>
          <w:szCs w:val="24"/>
          <w:shd w:val="clear" w:color="auto" w:fill="FFFFFF"/>
        </w:rPr>
        <w:t>5</w:t>
      </w:r>
      <w:r w:rsidRPr="005A79EE">
        <w:rPr>
          <w:rFonts w:ascii="Times New Roman" w:hAnsi="Times New Roman" w:cs="Times New Roman"/>
          <w:sz w:val="24"/>
          <w:szCs w:val="24"/>
          <w:shd w:val="clear" w:color="auto" w:fill="FFFFFF"/>
        </w:rPr>
        <w:t>(9), e857-e858.</w:t>
      </w:r>
    </w:p>
    <w:p w:rsidR="00E9398A" w:rsidRPr="005A79EE" w:rsidRDefault="00E9398A" w:rsidP="00E9398A">
      <w:pPr>
        <w:spacing w:line="480" w:lineRule="auto"/>
        <w:ind w:left="720" w:hanging="720"/>
        <w:rPr>
          <w:rFonts w:ascii="Times New Roman" w:hAnsi="Times New Roman" w:cs="Times New Roman"/>
          <w:sz w:val="24"/>
          <w:szCs w:val="24"/>
          <w:shd w:val="clear" w:color="auto" w:fill="FFFFFF"/>
        </w:rPr>
      </w:pPr>
      <w:r w:rsidRPr="005A79EE">
        <w:rPr>
          <w:rFonts w:ascii="Times New Roman" w:hAnsi="Times New Roman" w:cs="Times New Roman"/>
          <w:sz w:val="24"/>
          <w:szCs w:val="24"/>
          <w:shd w:val="clear" w:color="auto" w:fill="FFFFFF"/>
        </w:rPr>
        <w:t>Liu, J., Zhou, H., Tian, G., Liu, X., &amp; Jing, X. (2019). Digital twin-based process reuse and evaluation approach for smart process planning. </w:t>
      </w:r>
      <w:r w:rsidRPr="005A79EE">
        <w:rPr>
          <w:rFonts w:ascii="Times New Roman" w:hAnsi="Times New Roman" w:cs="Times New Roman"/>
          <w:i/>
          <w:iCs/>
          <w:sz w:val="24"/>
          <w:szCs w:val="24"/>
          <w:shd w:val="clear" w:color="auto" w:fill="FFFFFF"/>
        </w:rPr>
        <w:t>The International Journal of Advanced Manufacturing Technology</w:t>
      </w:r>
      <w:r w:rsidRPr="005A79EE">
        <w:rPr>
          <w:rFonts w:ascii="Times New Roman" w:hAnsi="Times New Roman" w:cs="Times New Roman"/>
          <w:sz w:val="24"/>
          <w:szCs w:val="24"/>
          <w:shd w:val="clear" w:color="auto" w:fill="FFFFFF"/>
        </w:rPr>
        <w:t>, </w:t>
      </w:r>
      <w:r w:rsidRPr="005A79EE">
        <w:rPr>
          <w:rFonts w:ascii="Times New Roman" w:hAnsi="Times New Roman" w:cs="Times New Roman"/>
          <w:i/>
          <w:iCs/>
          <w:sz w:val="24"/>
          <w:szCs w:val="24"/>
          <w:shd w:val="clear" w:color="auto" w:fill="FFFFFF"/>
        </w:rPr>
        <w:t>100</w:t>
      </w:r>
      <w:r w:rsidRPr="005A79EE">
        <w:rPr>
          <w:rFonts w:ascii="Times New Roman" w:hAnsi="Times New Roman" w:cs="Times New Roman"/>
          <w:sz w:val="24"/>
          <w:szCs w:val="24"/>
          <w:shd w:val="clear" w:color="auto" w:fill="FFFFFF"/>
        </w:rPr>
        <w:t>(5-8), 1619-1634.</w:t>
      </w:r>
    </w:p>
    <w:p w:rsidR="00E9398A" w:rsidRPr="005A79EE" w:rsidRDefault="00E9398A" w:rsidP="00E9398A">
      <w:pPr>
        <w:spacing w:line="480" w:lineRule="auto"/>
        <w:ind w:left="720" w:hanging="720"/>
        <w:rPr>
          <w:rFonts w:ascii="Times New Roman" w:hAnsi="Times New Roman" w:cs="Times New Roman"/>
          <w:sz w:val="24"/>
          <w:szCs w:val="24"/>
          <w:shd w:val="clear" w:color="auto" w:fill="FFFFFF"/>
        </w:rPr>
      </w:pPr>
      <w:r w:rsidRPr="005A79EE">
        <w:rPr>
          <w:rFonts w:ascii="Times New Roman" w:hAnsi="Times New Roman" w:cs="Times New Roman"/>
          <w:sz w:val="24"/>
          <w:szCs w:val="24"/>
          <w:shd w:val="clear" w:color="auto" w:fill="FFFFFF"/>
        </w:rPr>
        <w:t>Marsili, M. (2019). The war on cyberterrorism. </w:t>
      </w:r>
      <w:r w:rsidRPr="005A79EE">
        <w:rPr>
          <w:rFonts w:ascii="Times New Roman" w:hAnsi="Times New Roman" w:cs="Times New Roman"/>
          <w:i/>
          <w:iCs/>
          <w:sz w:val="24"/>
          <w:szCs w:val="24"/>
          <w:shd w:val="clear" w:color="auto" w:fill="FFFFFF"/>
        </w:rPr>
        <w:t>Democracy and security</w:t>
      </w:r>
      <w:r w:rsidRPr="005A79EE">
        <w:rPr>
          <w:rFonts w:ascii="Times New Roman" w:hAnsi="Times New Roman" w:cs="Times New Roman"/>
          <w:sz w:val="24"/>
          <w:szCs w:val="24"/>
          <w:shd w:val="clear" w:color="auto" w:fill="FFFFFF"/>
        </w:rPr>
        <w:t>, </w:t>
      </w:r>
      <w:r w:rsidRPr="005A79EE">
        <w:rPr>
          <w:rFonts w:ascii="Times New Roman" w:hAnsi="Times New Roman" w:cs="Times New Roman"/>
          <w:i/>
          <w:iCs/>
          <w:sz w:val="24"/>
          <w:szCs w:val="24"/>
          <w:shd w:val="clear" w:color="auto" w:fill="FFFFFF"/>
        </w:rPr>
        <w:t>15</w:t>
      </w:r>
      <w:r w:rsidRPr="005A79EE">
        <w:rPr>
          <w:rFonts w:ascii="Times New Roman" w:hAnsi="Times New Roman" w:cs="Times New Roman"/>
          <w:sz w:val="24"/>
          <w:szCs w:val="24"/>
          <w:shd w:val="clear" w:color="auto" w:fill="FFFFFF"/>
        </w:rPr>
        <w:t>(2), 172-199.</w:t>
      </w:r>
    </w:p>
    <w:p w:rsidR="00E9398A" w:rsidRPr="005A79EE" w:rsidRDefault="00E9398A" w:rsidP="00E9398A">
      <w:pPr>
        <w:spacing w:line="480" w:lineRule="auto"/>
        <w:ind w:left="720" w:hanging="720"/>
        <w:rPr>
          <w:rFonts w:ascii="Times New Roman" w:hAnsi="Times New Roman" w:cs="Times New Roman"/>
          <w:sz w:val="24"/>
          <w:szCs w:val="24"/>
        </w:rPr>
      </w:pPr>
      <w:r w:rsidRPr="005A79EE">
        <w:rPr>
          <w:rFonts w:ascii="Times New Roman" w:hAnsi="Times New Roman" w:cs="Times New Roman"/>
          <w:sz w:val="24"/>
          <w:szCs w:val="24"/>
          <w:shd w:val="clear" w:color="auto" w:fill="FFFFFF"/>
        </w:rPr>
        <w:t>Neely Jr, P. R., &amp; Allen, M. T. (2018). Policing Cyber Terrorism. </w:t>
      </w:r>
      <w:r w:rsidRPr="005A79EE">
        <w:rPr>
          <w:rFonts w:ascii="Times New Roman" w:hAnsi="Times New Roman" w:cs="Times New Roman"/>
          <w:i/>
          <w:iCs/>
          <w:sz w:val="24"/>
          <w:szCs w:val="24"/>
          <w:shd w:val="clear" w:color="auto" w:fill="FFFFFF"/>
        </w:rPr>
        <w:t>Journal of Cybersecurity Research (JCR)</w:t>
      </w:r>
      <w:r w:rsidRPr="005A79EE">
        <w:rPr>
          <w:rFonts w:ascii="Times New Roman" w:hAnsi="Times New Roman" w:cs="Times New Roman"/>
          <w:sz w:val="24"/>
          <w:szCs w:val="24"/>
          <w:shd w:val="clear" w:color="auto" w:fill="FFFFFF"/>
        </w:rPr>
        <w:t>, </w:t>
      </w:r>
      <w:r w:rsidRPr="005A79EE">
        <w:rPr>
          <w:rFonts w:ascii="Times New Roman" w:hAnsi="Times New Roman" w:cs="Times New Roman"/>
          <w:i/>
          <w:iCs/>
          <w:sz w:val="24"/>
          <w:szCs w:val="24"/>
          <w:shd w:val="clear" w:color="auto" w:fill="FFFFFF"/>
        </w:rPr>
        <w:t>3</w:t>
      </w:r>
      <w:r w:rsidRPr="005A79EE">
        <w:rPr>
          <w:rFonts w:ascii="Times New Roman" w:hAnsi="Times New Roman" w:cs="Times New Roman"/>
          <w:sz w:val="24"/>
          <w:szCs w:val="24"/>
          <w:shd w:val="clear" w:color="auto" w:fill="FFFFFF"/>
        </w:rPr>
        <w:t>(1), 13-18.</w:t>
      </w:r>
    </w:p>
    <w:p w:rsidR="00E9398A" w:rsidRPr="005A79EE" w:rsidRDefault="00E9398A" w:rsidP="00E9398A">
      <w:pPr>
        <w:spacing w:line="480" w:lineRule="auto"/>
        <w:ind w:left="720" w:hanging="720"/>
        <w:rPr>
          <w:rFonts w:ascii="Times New Roman" w:hAnsi="Times New Roman" w:cs="Times New Roman"/>
          <w:sz w:val="24"/>
          <w:szCs w:val="24"/>
          <w:shd w:val="clear" w:color="auto" w:fill="FFFFFF"/>
        </w:rPr>
      </w:pPr>
      <w:r w:rsidRPr="005A79EE">
        <w:rPr>
          <w:rFonts w:ascii="Times New Roman" w:hAnsi="Times New Roman" w:cs="Times New Roman"/>
          <w:sz w:val="24"/>
          <w:szCs w:val="24"/>
          <w:shd w:val="clear" w:color="auto" w:fill="FFFFFF"/>
        </w:rPr>
        <w:t>Wall, T. U., Meadow, A. M., &amp; Horganic, A. (2017). Developing evaluation indicators to improve the process of coproducing usable climate science. </w:t>
      </w:r>
      <w:r w:rsidRPr="005A79EE">
        <w:rPr>
          <w:rFonts w:ascii="Times New Roman" w:hAnsi="Times New Roman" w:cs="Times New Roman"/>
          <w:i/>
          <w:iCs/>
          <w:sz w:val="24"/>
          <w:szCs w:val="24"/>
          <w:shd w:val="clear" w:color="auto" w:fill="FFFFFF"/>
        </w:rPr>
        <w:t>Weather, Climate, and Society</w:t>
      </w:r>
      <w:r w:rsidRPr="005A79EE">
        <w:rPr>
          <w:rFonts w:ascii="Times New Roman" w:hAnsi="Times New Roman" w:cs="Times New Roman"/>
          <w:sz w:val="24"/>
          <w:szCs w:val="24"/>
          <w:shd w:val="clear" w:color="auto" w:fill="FFFFFF"/>
        </w:rPr>
        <w:t>, </w:t>
      </w:r>
      <w:r w:rsidRPr="005A79EE">
        <w:rPr>
          <w:rFonts w:ascii="Times New Roman" w:hAnsi="Times New Roman" w:cs="Times New Roman"/>
          <w:i/>
          <w:iCs/>
          <w:sz w:val="24"/>
          <w:szCs w:val="24"/>
          <w:shd w:val="clear" w:color="auto" w:fill="FFFFFF"/>
        </w:rPr>
        <w:t>9</w:t>
      </w:r>
      <w:r w:rsidRPr="005A79EE">
        <w:rPr>
          <w:rFonts w:ascii="Times New Roman" w:hAnsi="Times New Roman" w:cs="Times New Roman"/>
          <w:sz w:val="24"/>
          <w:szCs w:val="24"/>
          <w:shd w:val="clear" w:color="auto" w:fill="FFFFFF"/>
        </w:rPr>
        <w:t>(1), 95-107.</w:t>
      </w:r>
    </w:p>
    <w:p w:rsidR="000136EA" w:rsidRPr="005A79EE" w:rsidRDefault="000136EA" w:rsidP="00E9398A">
      <w:pPr>
        <w:spacing w:line="480" w:lineRule="auto"/>
        <w:rPr>
          <w:rFonts w:ascii="Times New Roman" w:hAnsi="Times New Roman" w:cs="Times New Roman"/>
          <w:sz w:val="24"/>
          <w:szCs w:val="24"/>
        </w:rPr>
      </w:pPr>
    </w:p>
    <w:p w:rsidR="00A55BAC" w:rsidRPr="005A79EE" w:rsidRDefault="00A55BAC" w:rsidP="00E9398A">
      <w:pPr>
        <w:spacing w:line="480" w:lineRule="auto"/>
        <w:rPr>
          <w:rFonts w:ascii="Times New Roman" w:hAnsi="Times New Roman" w:cs="Times New Roman"/>
          <w:sz w:val="24"/>
          <w:szCs w:val="24"/>
        </w:rPr>
      </w:pPr>
    </w:p>
    <w:sectPr w:rsidR="00A55BAC" w:rsidRPr="005A79EE" w:rsidSect="00E939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F77" w:rsidRDefault="002F2F77" w:rsidP="00F40022">
      <w:pPr>
        <w:spacing w:after="0" w:line="240" w:lineRule="auto"/>
      </w:pPr>
      <w:r>
        <w:separator/>
      </w:r>
    </w:p>
  </w:endnote>
  <w:endnote w:type="continuationSeparator" w:id="0">
    <w:p w:rsidR="002F2F77" w:rsidRDefault="002F2F77" w:rsidP="00F40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F77" w:rsidRDefault="002F2F77" w:rsidP="00F40022">
      <w:pPr>
        <w:spacing w:after="0" w:line="240" w:lineRule="auto"/>
      </w:pPr>
      <w:r>
        <w:separator/>
      </w:r>
    </w:p>
  </w:footnote>
  <w:footnote w:type="continuationSeparator" w:id="0">
    <w:p w:rsidR="002F2F77" w:rsidRDefault="002F2F77" w:rsidP="00F400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98A" w:rsidRPr="00E9398A" w:rsidRDefault="00E9398A">
    <w:pPr>
      <w:pStyle w:val="Header"/>
      <w:rPr>
        <w:rFonts w:ascii="Times New Roman" w:hAnsi="Times New Roman" w:cs="Times New Roman"/>
        <w:sz w:val="24"/>
        <w:szCs w:val="24"/>
      </w:rPr>
    </w:pPr>
    <w:r w:rsidRPr="00E9398A">
      <w:rPr>
        <w:rFonts w:ascii="Times New Roman" w:hAnsi="Times New Roman" w:cs="Times New Roman"/>
        <w:sz w:val="24"/>
        <w:szCs w:val="24"/>
      </w:rPr>
      <w:t>EVALUATION PROPOSAL</w:t>
    </w:r>
    <w:r w:rsidRPr="00E9398A">
      <w:rPr>
        <w:rFonts w:ascii="Times New Roman" w:hAnsi="Times New Roman" w:cs="Times New Roman"/>
        <w:sz w:val="24"/>
        <w:szCs w:val="24"/>
      </w:rPr>
      <w:t xml:space="preserve"> </w:t>
    </w:r>
    <w:r w:rsidRPr="00E9398A">
      <w:rPr>
        <w:rFonts w:ascii="Times New Roman" w:hAnsi="Times New Roman" w:cs="Times New Roman"/>
        <w:sz w:val="24"/>
        <w:szCs w:val="24"/>
      </w:rPr>
      <w:tab/>
    </w:r>
    <w:r w:rsidRPr="00E9398A">
      <w:rPr>
        <w:rFonts w:ascii="Times New Roman" w:hAnsi="Times New Roman" w:cs="Times New Roman"/>
        <w:sz w:val="24"/>
        <w:szCs w:val="24"/>
      </w:rPr>
      <w:tab/>
    </w:r>
    <w:sdt>
      <w:sdtPr>
        <w:rPr>
          <w:rFonts w:ascii="Times New Roman" w:hAnsi="Times New Roman" w:cs="Times New Roman"/>
          <w:sz w:val="24"/>
          <w:szCs w:val="24"/>
        </w:rPr>
        <w:id w:val="-1735857445"/>
        <w:docPartObj>
          <w:docPartGallery w:val="Page Numbers (Top of Page)"/>
          <w:docPartUnique/>
        </w:docPartObj>
      </w:sdtPr>
      <w:sdtEndPr>
        <w:rPr>
          <w:noProof/>
        </w:rPr>
      </w:sdtEndPr>
      <w:sdtContent>
        <w:r w:rsidRPr="00E9398A">
          <w:rPr>
            <w:rFonts w:ascii="Times New Roman" w:hAnsi="Times New Roman" w:cs="Times New Roman"/>
            <w:sz w:val="24"/>
            <w:szCs w:val="24"/>
          </w:rPr>
          <w:fldChar w:fldCharType="begin"/>
        </w:r>
        <w:r w:rsidRPr="00E9398A">
          <w:rPr>
            <w:rFonts w:ascii="Times New Roman" w:hAnsi="Times New Roman" w:cs="Times New Roman"/>
            <w:sz w:val="24"/>
            <w:szCs w:val="24"/>
          </w:rPr>
          <w:instrText xml:space="preserve"> PAGE   \* MERGEFORMAT </w:instrText>
        </w:r>
        <w:r w:rsidRPr="00E9398A">
          <w:rPr>
            <w:rFonts w:ascii="Times New Roman" w:hAnsi="Times New Roman" w:cs="Times New Roman"/>
            <w:sz w:val="24"/>
            <w:szCs w:val="24"/>
          </w:rPr>
          <w:fldChar w:fldCharType="separate"/>
        </w:r>
        <w:r w:rsidR="007D258B">
          <w:rPr>
            <w:rFonts w:ascii="Times New Roman" w:hAnsi="Times New Roman" w:cs="Times New Roman"/>
            <w:noProof/>
            <w:sz w:val="24"/>
            <w:szCs w:val="24"/>
          </w:rPr>
          <w:t>10</w:t>
        </w:r>
        <w:r w:rsidRPr="00E9398A">
          <w:rPr>
            <w:rFonts w:ascii="Times New Roman" w:hAnsi="Times New Roman" w:cs="Times New Roman"/>
            <w:noProof/>
            <w:sz w:val="24"/>
            <w:szCs w:val="24"/>
          </w:rPr>
          <w:fldChar w:fldCharType="end"/>
        </w:r>
      </w:sdtContent>
    </w:sdt>
  </w:p>
  <w:p w:rsidR="00E9398A" w:rsidRPr="00E9398A" w:rsidRDefault="00E939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98A" w:rsidRPr="00E9398A" w:rsidRDefault="00E9398A" w:rsidP="00E9398A">
    <w:pPr>
      <w:rPr>
        <w:rFonts w:ascii="Times New Roman" w:hAnsi="Times New Roman" w:cs="Times New Roman"/>
        <w:sz w:val="24"/>
        <w:szCs w:val="24"/>
      </w:rPr>
    </w:pPr>
    <w:r w:rsidRPr="00E9398A">
      <w:rPr>
        <w:rFonts w:ascii="Times New Roman" w:hAnsi="Times New Roman" w:cs="Times New Roman"/>
        <w:sz w:val="24"/>
        <w:szCs w:val="24"/>
      </w:rPr>
      <w:t>Running head: EVALUATION PROPOSAL</w:t>
    </w:r>
    <w:r w:rsidRPr="00E9398A">
      <w:rPr>
        <w:rFonts w:ascii="Times New Roman" w:hAnsi="Times New Roman" w:cs="Times New Roman"/>
        <w:sz w:val="24"/>
        <w:szCs w:val="24"/>
      </w:rPr>
      <w:tab/>
    </w:r>
    <w:r w:rsidRPr="00E9398A">
      <w:rPr>
        <w:rFonts w:ascii="Times New Roman" w:hAnsi="Times New Roman" w:cs="Times New Roman"/>
        <w:sz w:val="24"/>
        <w:szCs w:val="24"/>
      </w:rPr>
      <w:tab/>
    </w:r>
    <w:r w:rsidRPr="00E9398A">
      <w:rPr>
        <w:rFonts w:ascii="Times New Roman" w:hAnsi="Times New Roman" w:cs="Times New Roman"/>
        <w:sz w:val="24"/>
        <w:szCs w:val="24"/>
      </w:rPr>
      <w:tab/>
    </w:r>
    <w:r w:rsidRPr="00E9398A">
      <w:rPr>
        <w:rFonts w:ascii="Times New Roman" w:hAnsi="Times New Roman" w:cs="Times New Roman"/>
        <w:sz w:val="24"/>
        <w:szCs w:val="24"/>
      </w:rPr>
      <w:tab/>
    </w:r>
    <w:r w:rsidRPr="00E9398A">
      <w:rPr>
        <w:rFonts w:ascii="Times New Roman" w:hAnsi="Times New Roman" w:cs="Times New Roman"/>
        <w:sz w:val="24"/>
        <w:szCs w:val="24"/>
      </w:rPr>
      <w:tab/>
    </w:r>
    <w:r w:rsidRPr="00E9398A">
      <w:rPr>
        <w:rFonts w:ascii="Times New Roman" w:hAnsi="Times New Roman" w:cs="Times New Roman"/>
        <w:sz w:val="24"/>
        <w:szCs w:val="24"/>
      </w:rPr>
      <w:tab/>
      <w:t xml:space="preserve">                      </w:t>
    </w:r>
    <w:sdt>
      <w:sdtPr>
        <w:rPr>
          <w:rFonts w:ascii="Times New Roman" w:hAnsi="Times New Roman" w:cs="Times New Roman"/>
          <w:sz w:val="24"/>
          <w:szCs w:val="24"/>
        </w:rPr>
        <w:id w:val="762269501"/>
        <w:docPartObj>
          <w:docPartGallery w:val="Page Numbers (Top of Page)"/>
          <w:docPartUnique/>
        </w:docPartObj>
      </w:sdtPr>
      <w:sdtEndPr>
        <w:rPr>
          <w:noProof/>
        </w:rPr>
      </w:sdtEndPr>
      <w:sdtContent>
        <w:r w:rsidRPr="00E9398A">
          <w:rPr>
            <w:rFonts w:ascii="Times New Roman" w:hAnsi="Times New Roman" w:cs="Times New Roman"/>
            <w:sz w:val="24"/>
            <w:szCs w:val="24"/>
          </w:rPr>
          <w:fldChar w:fldCharType="begin"/>
        </w:r>
        <w:r w:rsidRPr="00E9398A">
          <w:rPr>
            <w:rFonts w:ascii="Times New Roman" w:hAnsi="Times New Roman" w:cs="Times New Roman"/>
            <w:sz w:val="24"/>
            <w:szCs w:val="24"/>
          </w:rPr>
          <w:instrText xml:space="preserve"> PAGE   \* MERGEFORMAT </w:instrText>
        </w:r>
        <w:r w:rsidRPr="00E9398A">
          <w:rPr>
            <w:rFonts w:ascii="Times New Roman" w:hAnsi="Times New Roman" w:cs="Times New Roman"/>
            <w:sz w:val="24"/>
            <w:szCs w:val="24"/>
          </w:rPr>
          <w:fldChar w:fldCharType="separate"/>
        </w:r>
        <w:r w:rsidR="007A5221">
          <w:rPr>
            <w:rFonts w:ascii="Times New Roman" w:hAnsi="Times New Roman" w:cs="Times New Roman"/>
            <w:noProof/>
            <w:sz w:val="24"/>
            <w:szCs w:val="24"/>
          </w:rPr>
          <w:t>1</w:t>
        </w:r>
        <w:r w:rsidRPr="00E9398A">
          <w:rPr>
            <w:rFonts w:ascii="Times New Roman" w:hAnsi="Times New Roman" w:cs="Times New Roman"/>
            <w:noProof/>
            <w:sz w:val="24"/>
            <w:szCs w:val="24"/>
          </w:rPr>
          <w:fldChar w:fldCharType="end"/>
        </w:r>
      </w:sdtContent>
    </w:sdt>
  </w:p>
  <w:p w:rsidR="00E9398A" w:rsidRPr="00E9398A" w:rsidRDefault="00E9398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3A6776"/>
    <w:multiLevelType w:val="hybridMultilevel"/>
    <w:tmpl w:val="BEBCA59A"/>
    <w:lvl w:ilvl="0" w:tplc="98A099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1E29AB"/>
    <w:multiLevelType w:val="hybridMultilevel"/>
    <w:tmpl w:val="78363F6C"/>
    <w:lvl w:ilvl="0" w:tplc="98A099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14915FF"/>
    <w:multiLevelType w:val="multilevel"/>
    <w:tmpl w:val="F3E66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14A"/>
    <w:rsid w:val="000136EA"/>
    <w:rsid w:val="00025B68"/>
    <w:rsid w:val="000638E1"/>
    <w:rsid w:val="000E6AB1"/>
    <w:rsid w:val="00101E6F"/>
    <w:rsid w:val="00114D8B"/>
    <w:rsid w:val="0014133C"/>
    <w:rsid w:val="00170E5B"/>
    <w:rsid w:val="00190422"/>
    <w:rsid w:val="002254FC"/>
    <w:rsid w:val="00291F52"/>
    <w:rsid w:val="002C5662"/>
    <w:rsid w:val="002F143F"/>
    <w:rsid w:val="002F2F77"/>
    <w:rsid w:val="0038530F"/>
    <w:rsid w:val="00392CC6"/>
    <w:rsid w:val="0039627A"/>
    <w:rsid w:val="003F3913"/>
    <w:rsid w:val="00405B7C"/>
    <w:rsid w:val="004112AC"/>
    <w:rsid w:val="00414AF2"/>
    <w:rsid w:val="00473B3E"/>
    <w:rsid w:val="004C03BD"/>
    <w:rsid w:val="004C2E99"/>
    <w:rsid w:val="004D2D9D"/>
    <w:rsid w:val="00546A23"/>
    <w:rsid w:val="005A322C"/>
    <w:rsid w:val="005A79EE"/>
    <w:rsid w:val="005B41E0"/>
    <w:rsid w:val="005C19FD"/>
    <w:rsid w:val="00664E30"/>
    <w:rsid w:val="006767AA"/>
    <w:rsid w:val="006A061E"/>
    <w:rsid w:val="006B58D9"/>
    <w:rsid w:val="00787B8E"/>
    <w:rsid w:val="007A5221"/>
    <w:rsid w:val="007B1D90"/>
    <w:rsid w:val="007D258B"/>
    <w:rsid w:val="007E1914"/>
    <w:rsid w:val="007E550F"/>
    <w:rsid w:val="007F2DE6"/>
    <w:rsid w:val="00811A98"/>
    <w:rsid w:val="008125DA"/>
    <w:rsid w:val="00815B89"/>
    <w:rsid w:val="008D0A42"/>
    <w:rsid w:val="00904CBF"/>
    <w:rsid w:val="00923CC2"/>
    <w:rsid w:val="00982F1F"/>
    <w:rsid w:val="00A0304C"/>
    <w:rsid w:val="00A237B9"/>
    <w:rsid w:val="00A32F8E"/>
    <w:rsid w:val="00A55BAC"/>
    <w:rsid w:val="00A70599"/>
    <w:rsid w:val="00A8610F"/>
    <w:rsid w:val="00AB3EA9"/>
    <w:rsid w:val="00AC322D"/>
    <w:rsid w:val="00AF31DD"/>
    <w:rsid w:val="00B25554"/>
    <w:rsid w:val="00B26CE0"/>
    <w:rsid w:val="00B3504E"/>
    <w:rsid w:val="00B40D22"/>
    <w:rsid w:val="00B64181"/>
    <w:rsid w:val="00B853BE"/>
    <w:rsid w:val="00BA5B9B"/>
    <w:rsid w:val="00C2730E"/>
    <w:rsid w:val="00C35A0B"/>
    <w:rsid w:val="00C5044B"/>
    <w:rsid w:val="00CA4D6A"/>
    <w:rsid w:val="00CB0750"/>
    <w:rsid w:val="00CB5C9A"/>
    <w:rsid w:val="00CC791D"/>
    <w:rsid w:val="00D4045E"/>
    <w:rsid w:val="00D43626"/>
    <w:rsid w:val="00D71869"/>
    <w:rsid w:val="00DB60F3"/>
    <w:rsid w:val="00E10C25"/>
    <w:rsid w:val="00E64912"/>
    <w:rsid w:val="00E9398A"/>
    <w:rsid w:val="00E9736B"/>
    <w:rsid w:val="00EA503E"/>
    <w:rsid w:val="00EC2AC6"/>
    <w:rsid w:val="00EC4EDC"/>
    <w:rsid w:val="00F017C4"/>
    <w:rsid w:val="00F40022"/>
    <w:rsid w:val="00F4314A"/>
    <w:rsid w:val="00F82639"/>
    <w:rsid w:val="00F97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1CDB4-A7F9-483E-BF87-E7FBA50F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022"/>
  </w:style>
  <w:style w:type="paragraph" w:styleId="Footer">
    <w:name w:val="footer"/>
    <w:basedOn w:val="Normal"/>
    <w:link w:val="FooterChar"/>
    <w:uiPriority w:val="99"/>
    <w:unhideWhenUsed/>
    <w:rsid w:val="00F40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022"/>
  </w:style>
  <w:style w:type="paragraph" w:styleId="ListParagraph">
    <w:name w:val="List Paragraph"/>
    <w:basedOn w:val="Normal"/>
    <w:uiPriority w:val="34"/>
    <w:qFormat/>
    <w:rsid w:val="00DB60F3"/>
    <w:pPr>
      <w:ind w:left="720"/>
      <w:contextualSpacing/>
    </w:pPr>
  </w:style>
  <w:style w:type="paragraph" w:styleId="NormalWeb">
    <w:name w:val="Normal (Web)"/>
    <w:basedOn w:val="Normal"/>
    <w:uiPriority w:val="99"/>
    <w:semiHidden/>
    <w:unhideWhenUsed/>
    <w:rsid w:val="00E9398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939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63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2509</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2020-07-25T12:10:00Z</dcterms:created>
  <dcterms:modified xsi:type="dcterms:W3CDTF">2020-07-25T12:10:00Z</dcterms:modified>
</cp:coreProperties>
</file>